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CE" w:rsidRDefault="003343CE" w:rsidP="003343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43CE" w:rsidRPr="00D57FE6" w:rsidRDefault="003343CE" w:rsidP="003343C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D57F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DB8" w:rsidRDefault="003343CE" w:rsidP="003343C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тему: «</w:t>
      </w:r>
      <w:r w:rsidR="00C102F4">
        <w:rPr>
          <w:rFonts w:ascii="Times New Roman" w:hAnsi="Times New Roman" w:cs="Times New Roman"/>
          <w:sz w:val="24"/>
          <w:szCs w:val="24"/>
        </w:rPr>
        <w:t>Квалитеты</w:t>
      </w:r>
      <w:r w:rsidRPr="00D57FE6">
        <w:rPr>
          <w:rFonts w:ascii="Times New Roman" w:hAnsi="Times New Roman" w:cs="Times New Roman"/>
          <w:sz w:val="24"/>
          <w:szCs w:val="24"/>
        </w:rPr>
        <w:t xml:space="preserve">» На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102F4">
        <w:rPr>
          <w:rFonts w:ascii="Times New Roman" w:hAnsi="Times New Roman" w:cs="Times New Roman"/>
          <w:sz w:val="24"/>
          <w:szCs w:val="24"/>
        </w:rPr>
        <w:t>8</w:t>
      </w:r>
      <w:r w:rsidRPr="00D57FE6">
        <w:rPr>
          <w:rFonts w:ascii="Times New Roman" w:hAnsi="Times New Roman" w:cs="Times New Roman"/>
          <w:sz w:val="24"/>
          <w:szCs w:val="24"/>
        </w:rPr>
        <w:t>.10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>.24г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57FE6">
        <w:rPr>
          <w:rFonts w:ascii="Times New Roman" w:hAnsi="Times New Roman" w:cs="Times New Roman"/>
          <w:color w:val="000000"/>
          <w:sz w:val="24"/>
          <w:szCs w:val="24"/>
        </w:rPr>
        <w:t xml:space="preserve">сделайте конспект 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выполните рисунки 1 </w:t>
      </w:r>
    </w:p>
    <w:p w:rsidR="003343CE" w:rsidRPr="00D57FE6" w:rsidRDefault="003343CE" w:rsidP="003343C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57FE6">
        <w:rPr>
          <w:rFonts w:ascii="Times New Roman" w:hAnsi="Times New Roman" w:cs="Times New Roman"/>
          <w:b/>
          <w:color w:val="000000"/>
          <w:sz w:val="24"/>
          <w:szCs w:val="24"/>
        </w:rPr>
        <w:t>Выполненное задание отправляйте на почту: mihailovna.olia2017@yandex.ru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КВАЛИТЕТЫ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каждом изделии детали разного назначения изготавливают с различной точностью. Для нормирования требуемых уровней точности изготовления деталей и изделий в ЕСДП установлены КВАЛИТЕТЫ.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КВАЛИТЕТ</w:t>
      </w:r>
      <w:r>
        <w:rPr>
          <w:rFonts w:ascii="Arial" w:hAnsi="Arial" w:cs="Arial"/>
          <w:color w:val="000000"/>
        </w:rPr>
        <w:t> (степень точности) –</w:t>
      </w:r>
      <w:r>
        <w:rPr>
          <w:rFonts w:ascii="Arial" w:hAnsi="Arial" w:cs="Arial"/>
          <w:i/>
          <w:iCs/>
          <w:color w:val="000000"/>
          <w:u w:val="single"/>
        </w:rPr>
        <w:t> совокупность допусков, соответствующих одинаковой степени точности (одному квалитету) для всех номинальных размеров. </w:t>
      </w:r>
      <w:r>
        <w:rPr>
          <w:rFonts w:ascii="Arial" w:hAnsi="Arial" w:cs="Arial"/>
          <w:color w:val="000000"/>
        </w:rPr>
        <w:t>Квалитет – ступень градации значений допусков системы.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ЕСДП установлены 15 квалитетов для размеров менее 1 мм, и 20 квалитетов для размеров от 1 мм и выше.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Обозначаются квалитеты порядковыми номерами: 01; 0; 1; 2; 3; …15; 16; 17; 18.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Допуски в каждом квалитете возрастают с увеличением номинальных размеров, однако, степень точности этих размеров остаётся одной (равной порядковому номеру квалитета). Для одного номинального размера, с изменением квалитета, допуск изменяется в сторону увеличения (по закону геометрической прогрессии со знаменателем 1,6, начиная с 5 квалитета) при переходе с одного квалитета на другой с большим порядковым номером. При изменении степени точности на 5 квалитетов допуск, соответственно, изменяется в 10 раз.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проектировании изделий (исходя из теоретических и экспериментальных исследований и опыта проектирования изделий с различными степенями точности), при назначении уровней точности на размеры этих изделий, руководствуются рекомендациями стандартов ЕСДП.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Квалитеты 01; 0 и 1 рекомендуются для ответственных размеров элементов плоскопараллельных концевых мер длины.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Квалитеты 2; 3 и 4 – для гладких калибров-пробок и калибров-скоб; размеры ответственных деталей </w:t>
      </w:r>
      <w:proofErr w:type="spellStart"/>
      <w:r>
        <w:rPr>
          <w:rFonts w:ascii="Arial" w:hAnsi="Arial" w:cs="Arial"/>
          <w:color w:val="000000"/>
        </w:rPr>
        <w:t>суперточных</w:t>
      </w:r>
      <w:proofErr w:type="spellEnd"/>
      <w:r>
        <w:rPr>
          <w:rFonts w:ascii="Arial" w:hAnsi="Arial" w:cs="Arial"/>
          <w:color w:val="000000"/>
        </w:rPr>
        <w:t xml:space="preserve"> станков (станки класса точности «С») и др.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Квалитеты 5 и 6 – для размеров деталей высокоточных соединений, например, подшипников качения, шеек коленчатых валов, ответственные детали станков повышенной точности (класс точности «А» и «В») и др.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Квалитеты 7 и 8 – наиболее используемые для размеров деталей точных ответственных соединений деталей в машиностроении, приборостроении и др. отраслях.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Квалитеты 9 и 10 – для размеров деталей неответственных соединений, входящих в соединения с другими деталями.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Квалитеты 11 и 12 – для размеров деталей, получаемых штамповкой, специальным литьём и др.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Квалитеты 13 и 14 – для размеров деталей, получаемых литьём в земляные формы, ковкой и др.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Квалитеты 15; 16 и 17 – предназначены для неответственных размеров деталей, не входящих в соединения с другими деталями, а также для межоперационных размеров.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стандартах ЕСДП допуски установлены для всех номинальных размеров, начиная с размеров менее 1 мм до размера 10000 мм.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 заданных </w:t>
      </w:r>
      <w:proofErr w:type="gramStart"/>
      <w:r>
        <w:rPr>
          <w:rFonts w:ascii="Arial" w:hAnsi="Arial" w:cs="Arial"/>
          <w:color w:val="000000"/>
        </w:rPr>
        <w:t>квалитете</w:t>
      </w:r>
      <w:proofErr w:type="gramEnd"/>
      <w:r>
        <w:rPr>
          <w:rFonts w:ascii="Arial" w:hAnsi="Arial" w:cs="Arial"/>
          <w:color w:val="000000"/>
        </w:rPr>
        <w:t xml:space="preserve"> и интервале номинальных размеров (номинальном размере) значение допуска одинаково и для вала, и для отверстия.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оптимизации количества допусков все номинальные размеры (предусмотренные стандартными рядами) разбиты на диапазоны [приложение 1]: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Охватывает размеры до 1 мм (включая 1 мм).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Охватывает размеры свыше 1 мм до 500 мм включительно.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Охватывает размеры свыше 500 мм до 3150 мм включительно.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Охватывает размеры свыше 3150 мм до 10000 мм включительно.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Дополнительный диапазон для размеров свыше 10000 мм до 40000 мм включительно.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Номинальные размеры в диапазоне, начиная со второго, разбиты на интервалы. Например, диапазон 2 разбит на 13 интервалов (свыше 1 мм до 3 мм включительно; свыше 3 мм до 6 мм; свыше 6 мм до 10 мм и </w:t>
      </w:r>
      <w:proofErr w:type="spellStart"/>
      <w:r>
        <w:rPr>
          <w:rFonts w:ascii="Arial" w:hAnsi="Arial" w:cs="Arial"/>
          <w:color w:val="000000"/>
        </w:rPr>
        <w:t>т</w:t>
      </w:r>
      <w:proofErr w:type="gramStart"/>
      <w:r>
        <w:rPr>
          <w:rFonts w:ascii="Arial" w:hAnsi="Arial" w:cs="Arial"/>
          <w:color w:val="000000"/>
        </w:rPr>
        <w:t>.д</w:t>
      </w:r>
      <w:proofErr w:type="spellEnd"/>
      <w:proofErr w:type="gramEnd"/>
      <w:r>
        <w:rPr>
          <w:rFonts w:ascii="Arial" w:hAnsi="Arial" w:cs="Arial"/>
          <w:color w:val="000000"/>
        </w:rPr>
        <w:t xml:space="preserve">… свыше 400 мм до 500 мм включительно). Кроме того, отдельные интервалы данного диапазона разделены на два </w:t>
      </w:r>
      <w:proofErr w:type="spellStart"/>
      <w:r>
        <w:rPr>
          <w:rFonts w:ascii="Arial" w:hAnsi="Arial" w:cs="Arial"/>
          <w:color w:val="000000"/>
        </w:rPr>
        <w:t>подинтервала</w:t>
      </w:r>
      <w:proofErr w:type="spellEnd"/>
      <w:r>
        <w:rPr>
          <w:rFonts w:ascii="Arial" w:hAnsi="Arial" w:cs="Arial"/>
          <w:color w:val="000000"/>
        </w:rPr>
        <w:t xml:space="preserve">. Например, интервал размеров свыше 80 мм до 120 мм разделён на </w:t>
      </w:r>
      <w:proofErr w:type="spellStart"/>
      <w:r>
        <w:rPr>
          <w:rFonts w:ascii="Arial" w:hAnsi="Arial" w:cs="Arial"/>
          <w:color w:val="000000"/>
        </w:rPr>
        <w:t>подинтервалы</w:t>
      </w:r>
      <w:proofErr w:type="spellEnd"/>
      <w:r>
        <w:rPr>
          <w:rFonts w:ascii="Arial" w:hAnsi="Arial" w:cs="Arial"/>
          <w:color w:val="000000"/>
        </w:rPr>
        <w:t>: свыше 80 мм до 100 мм, и свыше 100 мм до 120 мм.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номинальные размеры, объединённые в одном интервале (</w:t>
      </w:r>
      <w:proofErr w:type="spellStart"/>
      <w:r>
        <w:rPr>
          <w:rFonts w:ascii="Arial" w:hAnsi="Arial" w:cs="Arial"/>
          <w:color w:val="000000"/>
        </w:rPr>
        <w:t>подинтервале</w:t>
      </w:r>
      <w:proofErr w:type="spellEnd"/>
      <w:r>
        <w:rPr>
          <w:rFonts w:ascii="Arial" w:hAnsi="Arial" w:cs="Arial"/>
          <w:color w:val="000000"/>
        </w:rPr>
        <w:t>) при заданном квалитете имеют один (одинаковый) допуск.</w:t>
      </w:r>
    </w:p>
    <w:p w:rsidR="00C102F4" w:rsidRDefault="00C102F4" w:rsidP="00C102F4">
      <w:pPr>
        <w:pStyle w:val="a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Размеры в каждом интервале объединены, исходя из условия, чтобы допуски граничных размеров интервала (T(</w:t>
      </w:r>
      <w:proofErr w:type="spellStart"/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vertAlign w:val="subscript"/>
        </w:rPr>
        <w:t>min</w:t>
      </w:r>
      <w:proofErr w:type="spellEnd"/>
      <w:r>
        <w:rPr>
          <w:rFonts w:ascii="Arial" w:hAnsi="Arial" w:cs="Arial"/>
          <w:color w:val="000000"/>
        </w:rPr>
        <w:t>) и T(</w:t>
      </w:r>
      <w:proofErr w:type="spellStart"/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vertAlign w:val="subscript"/>
        </w:rPr>
        <w:t>max</w:t>
      </w:r>
      <w:proofErr w:type="spellEnd"/>
      <w:r>
        <w:rPr>
          <w:rFonts w:ascii="Arial" w:hAnsi="Arial" w:cs="Arial"/>
          <w:color w:val="000000"/>
        </w:rPr>
        <w:t>)) отличались бы от допусков средних размеров данных интервалов (T (</w:t>
      </w:r>
      <w:r>
        <w:rPr>
          <w:rFonts w:ascii="Arial" w:hAnsi="Arial" w:cs="Arial"/>
          <w:noProof/>
          <w:color w:val="000000"/>
        </w:rPr>
        <mc:AlternateContent>
          <mc:Choice Requires="wps">
            <w:drawing>
              <wp:inline distT="0" distB="0" distL="0" distR="0" wp14:anchorId="7300155A" wp14:editId="65401401">
                <wp:extent cx="308610" cy="308610"/>
                <wp:effectExtent l="0" t="0" r="0" b="0"/>
                <wp:docPr id="2" name="AutoShape 2" descr="https://studfile.net/html/2706/431/html_QkNSK1qRyx.eElS/img-H1DzvZ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studfile.net/html/2706/431/html_QkNSK1qRyx.eElS/img-H1DzvZ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</w:rPr>
        <w:t>)) не более чем на (5÷8)%.</w:t>
      </w:r>
    </w:p>
    <w:p w:rsidR="009C1D28" w:rsidRPr="007F699F" w:rsidRDefault="009C1D28" w:rsidP="009C1D2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 </w:t>
      </w:r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квалитетом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понимают совокупность допусков, изменяющихся в зависимости от величины номинального размера. Установлено 19 квалитетов, соответствующих различным уровням точности изготовления детали. Для каждого квалитета построены ряды полей допуска</w:t>
      </w:r>
    </w:p>
    <w:p w:rsidR="009C1D28" w:rsidRDefault="009C1D28" w:rsidP="009C1D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69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Поле допуска </w:t>
      </w:r>
      <w:r w:rsidRPr="007F6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поле, ограниченное верхним и нижним отклонениями. Все поля допуска для отверстий и валов обозначаются буквами латинского алфавита: для отверстий  – прописными буквами (H, K, F, G и т. д.); для валов – строчными (h, k, f, g и т. д.).  </w:t>
      </w:r>
    </w:p>
    <w:p w:rsidR="00C17B92" w:rsidRDefault="00C17B92" w:rsidP="009C1D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B92" w:rsidRDefault="00C17B92" w:rsidP="009C1D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B92" w:rsidRPr="007F699F" w:rsidRDefault="00C17B92" w:rsidP="009C1D2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C1D28" w:rsidRPr="007F699F" w:rsidRDefault="009C1D28" w:rsidP="009C1D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9465E58" wp14:editId="7B9E4A54">
            <wp:extent cx="5616062" cy="3453878"/>
            <wp:effectExtent l="0" t="0" r="3810" b="0"/>
            <wp:docPr id="1" name="Рисунок 1" descr="https://nsportal.ru/sites/default/files/docpreview_image/2024/05/05/lektsiya_opredelenie_predelnyz_otkloneniy.docx_imag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nsportal.ru/sites/default/files/docpreview_image/2024/05/05/lektsiya_opredelenie_predelnyz_otkloneniy.docx_image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490" cy="346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D28" w:rsidRPr="007F699F" w:rsidRDefault="009C1D28" w:rsidP="009C1D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F69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</w:t>
      </w:r>
      <w:r w:rsidR="003B6D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bookmarkStart w:id="0" w:name="_GoBack"/>
      <w:bookmarkEnd w:id="0"/>
      <w:r w:rsidRPr="007F69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Пояснения к терминам</w:t>
      </w:r>
    </w:p>
    <w:p w:rsidR="008D14C8" w:rsidRDefault="008D14C8" w:rsidP="00C102F4">
      <w:pPr>
        <w:shd w:val="clear" w:color="auto" w:fill="FFFFFF"/>
        <w:spacing w:after="0" w:line="240" w:lineRule="auto"/>
        <w:ind w:firstLine="708"/>
        <w:jc w:val="both"/>
      </w:pPr>
    </w:p>
    <w:sectPr w:rsidR="008D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AA1"/>
    <w:multiLevelType w:val="multilevel"/>
    <w:tmpl w:val="2E2C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3CE"/>
    <w:rsid w:val="003343CE"/>
    <w:rsid w:val="003B6DB8"/>
    <w:rsid w:val="008D14C8"/>
    <w:rsid w:val="009C1D28"/>
    <w:rsid w:val="00C102F4"/>
    <w:rsid w:val="00C1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43C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1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43C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1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dcterms:created xsi:type="dcterms:W3CDTF">2024-10-10T15:29:00Z</dcterms:created>
  <dcterms:modified xsi:type="dcterms:W3CDTF">2024-10-10T15:55:00Z</dcterms:modified>
</cp:coreProperties>
</file>